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48" w:rsidRDefault="00240B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B28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-75565</wp:posOffset>
            </wp:positionV>
            <wp:extent cx="5942330" cy="8532495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348" w:rsidRDefault="00B423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B423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B423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  <w:sectPr w:rsidR="00B42348">
          <w:footerReference w:type="default" r:id="rId9"/>
          <w:pgSz w:w="11909" w:h="16838"/>
          <w:pgMar w:top="709" w:right="850" w:bottom="1134" w:left="1701" w:header="0" w:footer="454" w:gutter="0"/>
          <w:pgNumType w:start="1"/>
          <w:cols w:space="720"/>
          <w:titlePg/>
        </w:sectPr>
      </w:pPr>
    </w:p>
    <w:p w:rsidR="00240B28" w:rsidRDefault="00240B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B28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16510</wp:posOffset>
            </wp:positionV>
            <wp:extent cx="5942330" cy="8282940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 И ПЛАНИРУЕМЫЕ РЕЗУЛЬТАТЫ ОБУЧЕНИЯ</w:t>
      </w:r>
    </w:p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</w:t>
      </w:r>
    </w:p>
    <w:tbl>
      <w:tblPr>
        <w:tblStyle w:val="ac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5"/>
        <w:gridCol w:w="1843"/>
      </w:tblGrid>
      <w:tr w:rsidR="00B42348">
        <w:trPr>
          <w:cantSplit/>
          <w:tblHeader/>
        </w:trPr>
        <w:tc>
          <w:tcPr>
            <w:tcW w:w="223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 (код, содержание)</w:t>
            </w:r>
          </w:p>
        </w:tc>
        <w:tc>
          <w:tcPr>
            <w:tcW w:w="5955" w:type="dxa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 обучения по дисциплине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B42348" w:rsidRDefault="00240B2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B42348" w:rsidRDefault="00240B2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полученной специальностью;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России;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быту;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</w:tbl>
    <w:p w:rsidR="00240B28" w:rsidRDefault="00240B28">
      <w:bookmarkStart w:id="0" w:name="_GoBack"/>
      <w:bookmarkEnd w:id="0"/>
    </w:p>
    <w:tbl>
      <w:tblPr>
        <w:tblStyle w:val="ac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5"/>
        <w:gridCol w:w="1843"/>
      </w:tblGrid>
      <w:tr w:rsidR="00B42348" w:rsidTr="00240B28">
        <w:trPr>
          <w:cantSplit/>
          <w:trHeight w:val="2825"/>
          <w:tblHeader/>
        </w:trPr>
        <w:tc>
          <w:tcPr>
            <w:tcW w:w="2235" w:type="dxa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06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организацию и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ядок призыва граждан на военную службу и поступления на нее в добровольном порядке;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родственные специальностям СПО;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843" w:type="dxa"/>
            <w:vAlign w:val="center"/>
          </w:tcPr>
          <w:p w:rsidR="00B42348" w:rsidRDefault="00B42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B28" w:rsidRDefault="00240B28"/>
    <w:tbl>
      <w:tblPr>
        <w:tblStyle w:val="ac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5"/>
        <w:gridCol w:w="1843"/>
      </w:tblGrid>
      <w:tr w:rsidR="00B42348">
        <w:trPr>
          <w:cantSplit/>
          <w:trHeight w:val="4740"/>
          <w:tblHeader/>
        </w:trPr>
        <w:tc>
          <w:tcPr>
            <w:tcW w:w="2235" w:type="dxa"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 специальностью;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пожарной безопасности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при пожарах;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вшим.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но-учетные специальности, родственные специальностям СПО;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 w:val="restart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 специальностью;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B42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 w:val="restart"/>
            <w:vAlign w:val="center"/>
          </w:tcPr>
          <w:p w:rsidR="00B42348" w:rsidRDefault="00240B2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снижения вероятности их реализации;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  <w:tr w:rsidR="00B42348">
        <w:trPr>
          <w:cantSplit/>
          <w:trHeight w:val="85"/>
          <w:tblHeader/>
        </w:trPr>
        <w:tc>
          <w:tcPr>
            <w:tcW w:w="2235" w:type="dxa"/>
            <w:vMerge/>
            <w:vAlign w:val="center"/>
          </w:tcPr>
          <w:p w:rsidR="00B42348" w:rsidRDefault="00B4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опыт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843" w:type="dxa"/>
            <w:vAlign w:val="center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доклад тренажер</w:t>
            </w:r>
          </w:p>
        </w:tc>
      </w:tr>
    </w:tbl>
    <w:p w:rsidR="00B42348" w:rsidRDefault="00240B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ОЦЕНОЧНЫЕ СРЕДСТВА ДЛЯ ТЕКУЩЕГО КОНТРОЛЯ ЗНАНИЙ ПО УЧЕБНОЙ ДИСЦИПЛИНЕ</w:t>
      </w:r>
    </w:p>
    <w:p w:rsidR="00B42348" w:rsidRDefault="00240B2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Тест - система стандартизированных заданий, позволяющая в автоматизированном режиме вести процедуру измерения уровня знаний и умений обучающегося. Для этого создан фонд тестовых заданий.</w:t>
      </w:r>
    </w:p>
    <w:tbl>
      <w:tblPr>
        <w:tblStyle w:val="ad"/>
        <w:tblW w:w="1014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344"/>
      </w:tblGrid>
      <w:tr w:rsidR="00B42348">
        <w:trPr>
          <w:cantSplit/>
          <w:tblHeader/>
        </w:trPr>
        <w:tc>
          <w:tcPr>
            <w:tcW w:w="2802" w:type="dxa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Оценка </w:t>
            </w:r>
          </w:p>
        </w:tc>
        <w:tc>
          <w:tcPr>
            <w:tcW w:w="7344" w:type="dxa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Критерий </w:t>
            </w:r>
          </w:p>
        </w:tc>
      </w:tr>
      <w:tr w:rsidR="00B42348">
        <w:trPr>
          <w:cantSplit/>
          <w:trHeight w:val="64"/>
          <w:tblHeader/>
        </w:trPr>
        <w:tc>
          <w:tcPr>
            <w:tcW w:w="2802" w:type="dxa"/>
          </w:tcPr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балла за правильный ответ на вопросы</w:t>
            </w:r>
          </w:p>
        </w:tc>
        <w:tc>
          <w:tcPr>
            <w:tcW w:w="7344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равильный ответ оценивается 1 баллом; неполный, неверный ответ или его отсутствие – 0 баллов</w:t>
            </w:r>
          </w:p>
        </w:tc>
      </w:tr>
    </w:tbl>
    <w:p w:rsidR="00B42348" w:rsidRDefault="00B4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2348" w:rsidRDefault="00240B2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рейтинг-контроль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Назовите предупредительный сигнал, который предусматривает действующая система оповещения и информирования населения о чрезвычайных ситуациях в военное и мирное время.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«Внимание всем!» (звук сирен, прерывистые гудки предприятий), после чего передается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ечевая информация о конкретной угрозе или чрезвычайной ситуации. 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«Воздушная тревога» (звук сирен, прерывистые гудки предприятий), после чего передается речевая информация о порядке действий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«Радиационная опасность» (звук сирен, прерывистые гудки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дприятий)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«Внимание всем! Химическая тревога» (звук сирен, прерывистые гудки предприятий), после чего передается речевая информация о порядке действий</w:t>
      </w:r>
    </w:p>
    <w:p w:rsidR="00B42348" w:rsidRDefault="00B42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называется комплекс медицинских мероприятий, выполненных на месте поражения преимущественно в пор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ядке само- и взаимопомощи, а также участниками аварийно-спасательных работ с использованием табельных и подручных средств?</w:t>
      </w:r>
    </w:p>
    <w:p w:rsidR="00B42348" w:rsidRDefault="00240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медицинской помощью</w:t>
      </w:r>
    </w:p>
    <w:p w:rsidR="00B42348" w:rsidRDefault="00240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врачебной помощью</w:t>
      </w:r>
    </w:p>
    <w:p w:rsidR="00B42348" w:rsidRDefault="00240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Доврачебной медицинской помощью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наложении жгута необходимо помнить, что его нельзя держать на теле более:</w:t>
      </w:r>
    </w:p>
    <w:p w:rsidR="00B42348" w:rsidRDefault="00240B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2-х часов</w:t>
      </w:r>
    </w:p>
    <w:p w:rsidR="00B42348" w:rsidRDefault="00240B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 часов</w:t>
      </w:r>
    </w:p>
    <w:p w:rsidR="00B42348" w:rsidRDefault="00240B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часов</w:t>
      </w:r>
    </w:p>
    <w:p w:rsidR="00B42348" w:rsidRDefault="00240B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8-ми часов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Вывих это...</w:t>
      </w:r>
    </w:p>
    <w:p w:rsidR="00B42348" w:rsidRDefault="00240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 связок</w:t>
      </w:r>
    </w:p>
    <w:p w:rsidR="00B42348" w:rsidRDefault="00240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целостности кости</w:t>
      </w:r>
    </w:p>
    <w:p w:rsidR="00B42348" w:rsidRDefault="00240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Смещение кости по отношению к ее нормальному положению в суставе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Дыхательная реанимация производится с целью</w:t>
      </w:r>
    </w:p>
    <w:p w:rsidR="00B42348" w:rsidRDefault="0024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у пострадавших асфиксии (удушья)</w:t>
      </w:r>
    </w:p>
    <w:p w:rsidR="00B42348" w:rsidRDefault="0024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Кислородной ингаляции, как метод лечения гипоксических состояний</w:t>
      </w:r>
    </w:p>
    <w:p w:rsidR="00B42348" w:rsidRDefault="0024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 дыхания путем искусственного введения воздуха в легкие пораженного – путем искусственной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вентиляции легких (ИВЛ)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Обследование загрязненной территории проводится методом непрерывного замера мощности дозы через каждые</w:t>
      </w:r>
    </w:p>
    <w:p w:rsidR="00B42348" w:rsidRDefault="0024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100-300 м. с нанесением на карту (план-схему) номер точки и времени замера</w:t>
      </w:r>
    </w:p>
    <w:p w:rsidR="00B42348" w:rsidRDefault="0024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500-800 м. с нанесением на карту (план-схему) номер точки и времени замера</w:t>
      </w:r>
    </w:p>
    <w:p w:rsidR="00B42348" w:rsidRDefault="0024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600-700 м. с нанесением на карту (план-схему) номер точки и времени замера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облучения личного состава, находящегося на загрязненной радиоактивными веществами местности, пров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одится</w:t>
      </w:r>
    </w:p>
    <w:p w:rsidR="00B42348" w:rsidRDefault="0024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сутки</w:t>
      </w:r>
    </w:p>
    <w:p w:rsidR="00B42348" w:rsidRDefault="0024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два дня</w:t>
      </w:r>
    </w:p>
    <w:p w:rsidR="00B42348" w:rsidRDefault="0024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Непрерывно. Суммарную дозу записывают в индивидуальную карточку учета доз облучения.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организационных и технических мероприятий по определению доз облучения людей с целью количественной оценки эффекта воздействия на них ионизирующих излучений называется</w:t>
      </w:r>
    </w:p>
    <w:p w:rsidR="00B42348" w:rsidRDefault="0024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Радиометрическим контролем</w:t>
      </w:r>
    </w:p>
    <w:p w:rsidR="00B42348" w:rsidRDefault="0024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Дозиметрическим контролем</w:t>
      </w:r>
    </w:p>
    <w:p w:rsidR="00B42348" w:rsidRDefault="0024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Групповым контролем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состав, техника и транспорт формирований, подвергшихся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радиоактивному загрязнению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проводят полную специальную обработку на</w:t>
      </w:r>
    </w:p>
    <w:p w:rsidR="00B42348" w:rsidRDefault="00240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 специальной обработки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42348" w:rsidRDefault="00240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Санитарно-обмывочных пунктах (СОП).</w:t>
      </w:r>
    </w:p>
    <w:p w:rsidR="00B42348" w:rsidRDefault="00240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Станциях обеззараживания одежды (СОО)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Какой закон Российской Федерации закрепил права граждан на охрану здоровья, на благоприятную окружающую среду, достоверную информацию о ее состоянии, на возмещение ущерба, причиненного здоровью или имуществу.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Федеральный закон «О защите населения и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риторий от чрезвычайных ситуаций природного и техногенного характера».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Конституция Российской Федерации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Трудовой кодекс</w:t>
      </w:r>
    </w:p>
    <w:p w:rsidR="00B42348" w:rsidRDefault="00B4234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2348" w:rsidRDefault="00240B2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рейтинг-контроль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каком законе Российской Федерации определены задачи в области гражданской обороны и правовые основы их осуществления</w:t>
      </w:r>
    </w:p>
    <w:p w:rsidR="00B42348" w:rsidRDefault="0024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гражданской обороне».</w:t>
      </w:r>
    </w:p>
    <w:p w:rsidR="00B42348" w:rsidRDefault="0024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Законе Российской Федерации «О безопасности».</w:t>
      </w:r>
    </w:p>
    <w:p w:rsidR="00B42348" w:rsidRDefault="0024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пожарной безопаснос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ти».</w:t>
      </w:r>
    </w:p>
    <w:p w:rsidR="00B42348" w:rsidRDefault="0024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защите населения и территорий от чрезвычайных ситуаций природного и техногенного характера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нормативном правовом акте отображены основные принципы защиты населения и территорий от чрезвычайных ситуаций</w:t>
      </w:r>
    </w:p>
    <w:p w:rsidR="00B42348" w:rsidRDefault="0024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Законе Российской Федерации «О безопасности».</w:t>
      </w:r>
    </w:p>
    <w:p w:rsidR="00B42348" w:rsidRDefault="0024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гражданской обороне</w:t>
      </w:r>
    </w:p>
    <w:p w:rsidR="00B42348" w:rsidRDefault="0024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пожарной безопасности»</w:t>
      </w:r>
    </w:p>
    <w:p w:rsidR="00B42348" w:rsidRDefault="0024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 защите населения и территорий от чрезвычайных ситуаций природного и техногенного характера»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определение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называется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«Военной опасностью»?</w:t>
      </w:r>
    </w:p>
    <w:p w:rsidR="00B42348" w:rsidRDefault="00240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Глубокие социально-экономические проблемы и проявление в ряде регионов России экстремизма и сепаратизма</w:t>
      </w:r>
    </w:p>
    <w:p w:rsidR="00B42348" w:rsidRDefault="00240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межгосударственных и международных отношений, характеризующееся угрозой воны</w:t>
      </w:r>
    </w:p>
    <w:p w:rsidR="00B42348" w:rsidRDefault="00240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Тенденцией мирового распространения ядерного и других видов оружия массового поражения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какому виду средств поражения относится высокоточное управляемое оружие? </w:t>
      </w:r>
    </w:p>
    <w:p w:rsidR="00B42348" w:rsidRDefault="00240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Ядерное оружие</w:t>
      </w:r>
    </w:p>
    <w:p w:rsidR="00B42348" w:rsidRDefault="00240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оружие</w:t>
      </w:r>
    </w:p>
    <w:p w:rsidR="00B42348" w:rsidRDefault="00240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 средства поражения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условно обозначается зона чрезвычайно опасного заражения. </w:t>
      </w:r>
    </w:p>
    <w:p w:rsidR="00B42348" w:rsidRDefault="00240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А</w:t>
      </w:r>
    </w:p>
    <w:p w:rsidR="00B42348" w:rsidRDefault="00240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Б</w:t>
      </w:r>
    </w:p>
    <w:p w:rsidR="00B42348" w:rsidRDefault="00240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В</w:t>
      </w:r>
    </w:p>
    <w:p w:rsidR="00B42348" w:rsidRDefault="00240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Г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Перечислите основные поражающие факторы пожара </w:t>
      </w:r>
    </w:p>
    <w:p w:rsidR="00B42348" w:rsidRDefault="00240B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Световое излучение</w:t>
      </w:r>
    </w:p>
    <w:p w:rsidR="00B42348" w:rsidRDefault="00240B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излучения, токсическое действие продуктов горения</w:t>
      </w:r>
    </w:p>
    <w:p w:rsidR="00B42348" w:rsidRDefault="00240B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Осколочные поля, создаваемые летящими обломками разного рода объектов технологического оборудования, строительных деталей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привлечения внимания работающего персонала предприятий (организаций, учреждений), населения перед передачей речевой информац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 включаются сирены, производственные гудки и другие сигнальные средства. Что это означает?</w:t>
      </w:r>
    </w:p>
    <w:p w:rsidR="00B42348" w:rsidRDefault="00240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 до населения сигнала о вооруженной опасности</w:t>
      </w:r>
    </w:p>
    <w:p w:rsidR="00B42348" w:rsidRDefault="00240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 до населения сигнала о начале эвакуации</w:t>
      </w:r>
    </w:p>
    <w:p w:rsidR="00B42348" w:rsidRDefault="00240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Подачу предупредительного сигнала «Внимание всем!»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из нижеперечисленного относится к природным чрезвычайным ситуациям? </w:t>
      </w:r>
    </w:p>
    <w:p w:rsidR="00B42348" w:rsidRDefault="00240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аварии и катастрофы</w:t>
      </w:r>
    </w:p>
    <w:p w:rsidR="00B42348" w:rsidRDefault="00240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Взрывы, выбросы химических и радиоактивных веществ</w:t>
      </w:r>
    </w:p>
    <w:p w:rsidR="00B42348" w:rsidRDefault="00240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Землетрясения, наводнения, лесные и торфяные пожары, селевые потоки и оползни, бури, ураганы,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мерчи, снежные заносы и обледенения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Соблюдение установленных пределов допустимых доз облучения исключает возможность массовых радиационных поражений в зонах радиоактивного заражения. Назовите допустимую дозу одно- и многократного облучения человека</w:t>
      </w:r>
    </w:p>
    <w:p w:rsidR="00B42348" w:rsidRDefault="00240B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рентген</w:t>
      </w:r>
    </w:p>
    <w:p w:rsidR="00B42348" w:rsidRDefault="00240B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рентген</w:t>
      </w:r>
    </w:p>
    <w:p w:rsidR="00B42348" w:rsidRDefault="00240B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75 рентген</w:t>
      </w:r>
    </w:p>
    <w:p w:rsidR="00B42348" w:rsidRDefault="00240B2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рентген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проводиться йодная профилактика с помощью 5 %-ого раствора йода? </w:t>
      </w:r>
    </w:p>
    <w:p w:rsidR="00B42348" w:rsidRDefault="00240B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3-5 капель на стакан воды для взрослых и 1-2 капли на 100 г жидкости для детей. Прием повторить через 6-7 ч. Следует помнить, что препараты йода противопоказаны беременным женщинам</w:t>
      </w:r>
    </w:p>
    <w:p w:rsidR="00B42348" w:rsidRDefault="00240B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5-10 капель на стакан воды для взрослых и 1-2 капли на 100 г жидкости для беременных женщин и детей. Прием повторить через 10 ч</w:t>
      </w:r>
    </w:p>
    <w:p w:rsidR="00B42348" w:rsidRDefault="00240B2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5- 10 капель на стакан воды. Прием повторить не менее чем через 5 ч</w:t>
      </w:r>
    </w:p>
    <w:p w:rsidR="00B42348" w:rsidRDefault="00B4234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2348" w:rsidRDefault="00240B28">
      <w:pPr>
        <w:tabs>
          <w:tab w:val="left" w:pos="0"/>
          <w:tab w:val="left" w:pos="284"/>
        </w:tabs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рейтинг-контроль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правила необходимо соблюдать при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ахождении в сильно задымленном помещении? </w:t>
      </w:r>
    </w:p>
    <w:p w:rsidR="00B42348" w:rsidRDefault="00240B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Горящее и сильно задымленное помещение следует преодолевать, накрывшись с головой мокрой тканью для защиты от угарного газа. Двигаться следует вдоль стены, на четвереньках или ползком – внизу меньше дыма</w:t>
      </w:r>
    </w:p>
    <w:p w:rsidR="00B42348" w:rsidRDefault="00240B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Горящее и сильно задымленное помещение следует преодолевать, накрывшись с головой мокрой тканью, бегом, в полный рост – вверху меньше дыма</w:t>
      </w:r>
    </w:p>
    <w:p w:rsidR="00B42348" w:rsidRDefault="00240B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горящем, сильно задымленном помещении накройтесь с головой мокрой тканью. Подавайте сигналы бедствия и жди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помощи спасателей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Назовите предупредительный сигнал, который предусматривает действующая система оповещения и информирования населения о чрезвычайных ситуациях в военное и мирное время. </w:t>
      </w:r>
    </w:p>
    <w:p w:rsidR="00B42348" w:rsidRDefault="00240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«Внимание всем!» (звук сирен, прерывистые гудки предприятий), посл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чего передается речевая информация о конкретной угрозе или чрезвычайной ситуации</w:t>
      </w:r>
    </w:p>
    <w:p w:rsidR="00B42348" w:rsidRDefault="00240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«Внимание всем! Химическая тревога» (звук сирен, прерывистые гудки предприятий), после чего передается речевая информация о порядке действий</w:t>
      </w:r>
    </w:p>
    <w:p w:rsidR="00B42348" w:rsidRDefault="00240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«Радиационная опасность» (звук сирен, прерывистые гудки предприятий)</w:t>
      </w:r>
    </w:p>
    <w:p w:rsidR="00B42348" w:rsidRDefault="00240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«Воздушная тревога» (звук сирен, прерывистые гудки предприятий), после чего передается речевая информация о порядке действий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Какими силами ведется радиационная, химическая и бактериологич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еская разведка на марше в интересах спасательной службы? </w:t>
      </w:r>
    </w:p>
    <w:p w:rsidR="00B42348" w:rsidRDefault="00240B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силами и средствами спасательных служб</w:t>
      </w:r>
    </w:p>
    <w:p w:rsidR="00B42348" w:rsidRDefault="00240B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силами и средствами вышестоящего руководства</w:t>
      </w:r>
    </w:p>
    <w:p w:rsidR="00B42348" w:rsidRDefault="00240B2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выделенными разведывательными подразделениями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называется комплекс медицинских мероприятий, выполненных на месте поражения преимущественно в порядке само- и взаимопомощи, а также участниками аварийно-спасательных работ с использованием табельных и подручных средств? </w:t>
      </w:r>
    </w:p>
    <w:p w:rsidR="00B42348" w:rsidRDefault="00240B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медицинской помощью</w:t>
      </w:r>
    </w:p>
    <w:p w:rsidR="00B42348" w:rsidRDefault="00240B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врачебной помощью</w:t>
      </w:r>
    </w:p>
    <w:p w:rsidR="00B42348" w:rsidRDefault="00240B2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Доврачебной медицинской помощью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Наложение жгута является эффективным способом полной остановки артериального кровотечения. Как накладывается жгут? </w:t>
      </w:r>
    </w:p>
    <w:p w:rsidR="00B42348" w:rsidRDefault="00240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Жгут накладывается на конечность выше поврежденной части примерно на 5 см</w:t>
      </w:r>
    </w:p>
    <w:p w:rsidR="00B42348" w:rsidRDefault="00240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Жгут накладывается на конечность выше поврежденной части примерно на 15 – 20 см</w:t>
      </w:r>
    </w:p>
    <w:p w:rsidR="00B42348" w:rsidRDefault="00240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Жгут накладывается на конечность выше поврежденной части непосредственно рядом с раной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артериального кровотечения характерно: </w:t>
      </w:r>
    </w:p>
    <w:p w:rsidR="00B42348" w:rsidRDefault="00240B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Быстрое и обильное кровотечение, сильная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поврежденной части тела, ярко красный цвет крови, кровь обычно бьет из раны фонтаном</w:t>
      </w:r>
    </w:p>
    <w:p w:rsidR="00B42348" w:rsidRDefault="00240B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ровное вытекание крови из раны, кровь темно-красного или бордового цвета и льется непрерывно и равномерно</w:t>
      </w:r>
    </w:p>
    <w:p w:rsidR="00B42348" w:rsidRDefault="00240B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Незначительное кровотечение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Переломом называется? </w:t>
      </w:r>
    </w:p>
    <w:p w:rsidR="00B42348" w:rsidRDefault="00240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 связок</w:t>
      </w:r>
    </w:p>
    <w:p w:rsidR="00B42348" w:rsidRDefault="00240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Смещение кости по отношению к ее нормальному положению в суставе</w:t>
      </w:r>
    </w:p>
    <w:p w:rsidR="00B42348" w:rsidRDefault="00240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целостности кости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Комплект изолирующий химический КИХ – 4 (КИХ-5) предназначен: </w:t>
      </w:r>
    </w:p>
    <w:p w:rsidR="00B42348" w:rsidRDefault="00240B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населения</w:t>
      </w:r>
    </w:p>
    <w:p w:rsidR="00B42348" w:rsidRDefault="00240B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наибольшей работающей смены объекта экономики (организации).</w:t>
      </w:r>
    </w:p>
    <w:p w:rsidR="00B42348" w:rsidRDefault="00240B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защиты спасателей газоспасательных отрядов,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спасательных формирований и войск ГО при выполнении работ в условиях воздействия АХОВ (хлора, аммиака, азотной и серной кисло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 высоких концентраций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 предложение. Воинская обязанность – это…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установленная законом необходимость граждан нести службу в рядах Вооруженных Сил;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 исторически сложившиеся и передающиеся из поколения в поколение уставные взаимоотношения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рядах Вооруженных Сил;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установленный государством воинский долг по военной защите своей страны;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установленный законом долг граждан нести службу в рядах Вооруженных Сил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выполнение других обязанностей, связанных с обороной государства; </w:t>
      </w:r>
    </w:p>
    <w:p w:rsidR="00B42348" w:rsidRDefault="00240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предусматривает воинская обязанность?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пребывание в запасе;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прохождение военной службы по призыву;     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призыв на военную службу;</w:t>
      </w:r>
    </w:p>
    <w:p w:rsidR="00B42348" w:rsidRDefault="00240B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отсрочку от военной службы;</w:t>
      </w:r>
    </w:p>
    <w:p w:rsidR="00B42348" w:rsidRDefault="00B423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240B2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Доклад - продукт самостоятельной работы студента, представляющий собой публичное выступление по представлению полученных результатов решения определенной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учебно-практической, учебно-исследовательской или научной темы.</w:t>
      </w:r>
    </w:p>
    <w:p w:rsidR="00B42348" w:rsidRDefault="00B423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докладов для самостоятельной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 студентов</w:t>
      </w:r>
    </w:p>
    <w:p w:rsidR="00B42348" w:rsidRDefault="00B4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и действия населения при техногенных ЧС.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и действия населения при природных ЧС.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населения в условиях заражения сильнодействующими ядовитыми веществами.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создания и основные задачи РСЧС по защите населения от чрезвычайных ситуаций. 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населения об угрозе жизни и здоровья людей и о порядке их действий в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ожившейся обстановке.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обычные средства поражения используемых при террористических актах.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обеспечения устойчивости объектов экономики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Противодействия терроризму как серьезной угрозе национальной безопасности России.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Огнетушащие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Правила, приемы и способы применения первичных средств пожаротушения.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средства защиты.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индивидуальной защиты.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виды потенциальных опасностей в быту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2.Безопасность при обращении с оружием на транспорте, со сжиженными газами.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основных законов и нормативных правовых актов Российской Федерации, определяющих порядок несения военной службы.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перечень требований, которым должен отвечать призывник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наложения повязок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ранении различных 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 тела.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Травматический шок и его профилактика.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 черепно-мозговую травму.</w:t>
      </w:r>
    </w:p>
    <w:p w:rsidR="00B42348" w:rsidRDefault="00240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термических ожогов.</w:t>
      </w:r>
    </w:p>
    <w:p w:rsidR="00B42348" w:rsidRDefault="00B423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e"/>
        <w:tblW w:w="1014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8337"/>
      </w:tblGrid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8337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«Отлично»</w:t>
            </w:r>
          </w:p>
        </w:tc>
        <w:tc>
          <w:tcPr>
            <w:tcW w:w="8337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1)полное раскрытие вопроса;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2)указание точных названий и определений;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3)правильная формулировка понятий и категорий;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4)самостоятельность ответа, умение вводить и использовать собственные классификации и квалификации, анализировать и делать собственные выводы по рассматриваемой теме;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5)использование дополнительной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материалов и др.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«Хорошо»</w:t>
            </w:r>
          </w:p>
        </w:tc>
        <w:tc>
          <w:tcPr>
            <w:tcW w:w="8337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1)недостаточно полное, по мнению преподавателя, раскрытие темы;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2)несущественные ошибки в определении понятий, категорий и т.п., кардинально не меняющих суть изложения;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3)использование устаревшей учебной литературы и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источников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«Удовлетворительно»</w:t>
            </w:r>
          </w:p>
        </w:tc>
        <w:tc>
          <w:tcPr>
            <w:tcW w:w="8337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1)отражение лишь общего направления изложения лекционного материала и материала современных учебников;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2)наличие достаточного количества несущественных или одной-двух существенных ошибок в определении понятий и категорий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3)использование устаревшей учебной литературы и других источников;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4)неспособность осветить проблематику   учебной   дисциплины и др.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«Неудовлетворительно»</w:t>
            </w:r>
          </w:p>
        </w:tc>
        <w:tc>
          <w:tcPr>
            <w:tcW w:w="8337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1)нераскрытые темы;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2)большое количество существенных ошибок;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3)отсутствие умений и навыков, обозначенных выше в качестве критериев выставления положительных оценок др.</w:t>
            </w:r>
          </w:p>
        </w:tc>
      </w:tr>
    </w:tbl>
    <w:p w:rsidR="00B42348" w:rsidRDefault="00B4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240B2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Тренажер - техническое средство, которое может быть использовано для контроля приобретенных студентом профессиональных навыков и умений по управ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лению конкретным материальным объектом.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Общевойсковой защитный комплект (ОЗК)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Общевойсковой противогаз или противогаз ГП-7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Респиратор Р-2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противохимический пакет (ИПП-11)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сумка в комплекте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Носилки санитарные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Аптечка индивидуальная (АИ-2)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Бинты марлевые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Бинты эластичные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Жгуты кровоостанавливающие резиновые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перевязочные пакеты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Косынки перевязочные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 для перевязочного материала прямые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Шины транспортные эластичные для ног и рук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автомат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АК-74</w:t>
      </w:r>
    </w:p>
    <w:p w:rsidR="00B42348" w:rsidRDefault="00240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Винтовки пневматические</w:t>
      </w:r>
    </w:p>
    <w:p w:rsidR="00B42348" w:rsidRDefault="00B42348"/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распределение баллов текущего контроля по видам учебных работ </w:t>
      </w:r>
    </w:p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студентов</w:t>
      </w:r>
    </w:p>
    <w:tbl>
      <w:tblPr>
        <w:tblStyle w:val="af"/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145"/>
        <w:gridCol w:w="3036"/>
      </w:tblGrid>
      <w:tr w:rsidR="00B42348">
        <w:tc>
          <w:tcPr>
            <w:tcW w:w="305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Рейтинг-контроль 1 </w:t>
            </w:r>
          </w:p>
        </w:tc>
        <w:tc>
          <w:tcPr>
            <w:tcW w:w="3145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10 вопросов </w:t>
            </w:r>
          </w:p>
        </w:tc>
        <w:tc>
          <w:tcPr>
            <w:tcW w:w="303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B42348">
        <w:tc>
          <w:tcPr>
            <w:tcW w:w="305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Рейтинг-контроль 2 </w:t>
            </w:r>
          </w:p>
        </w:tc>
        <w:tc>
          <w:tcPr>
            <w:tcW w:w="3145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10 вопросов </w:t>
            </w:r>
          </w:p>
        </w:tc>
        <w:tc>
          <w:tcPr>
            <w:tcW w:w="303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B42348">
        <w:tc>
          <w:tcPr>
            <w:tcW w:w="305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Рейтинг-контроль 3 </w:t>
            </w:r>
          </w:p>
        </w:tc>
        <w:tc>
          <w:tcPr>
            <w:tcW w:w="3145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10 вопросов </w:t>
            </w:r>
          </w:p>
        </w:tc>
        <w:tc>
          <w:tcPr>
            <w:tcW w:w="303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баллов</w:t>
            </w:r>
          </w:p>
        </w:tc>
      </w:tr>
      <w:tr w:rsidR="00B42348">
        <w:tc>
          <w:tcPr>
            <w:tcW w:w="305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занятий студентом </w:t>
            </w:r>
          </w:p>
        </w:tc>
        <w:tc>
          <w:tcPr>
            <w:tcW w:w="3145" w:type="dxa"/>
          </w:tcPr>
          <w:p w:rsidR="00B42348" w:rsidRDefault="00B4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42348">
        <w:tc>
          <w:tcPr>
            <w:tcW w:w="305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семестрового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самостоятельной</w:t>
            </w:r>
          </w:p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3145" w:type="dxa"/>
          </w:tcPr>
          <w:p w:rsidR="00B42348" w:rsidRDefault="00B4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B42348" w:rsidRDefault="0024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баллов</w:t>
            </w:r>
          </w:p>
        </w:tc>
      </w:tr>
    </w:tbl>
    <w:p w:rsidR="00B42348" w:rsidRDefault="00B42348"/>
    <w:p w:rsidR="00B42348" w:rsidRDefault="00240B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ОЦЕНОЧНЫЕ СРЕДСТВА ДЛЯ ПРОМЕЖУТОЧНОЙ АТТЕСТАЦИИ ПО УЧЕБНОЙ ДИСЦИПЛИНЕ</w:t>
      </w:r>
    </w:p>
    <w:p w:rsidR="00B42348" w:rsidRDefault="00240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итогам освоения дисциплины (зачет) проводится на 17-18 неделях в семестре. Зачет проводится в виде собеседования, содержащим один вопрос.</w:t>
      </w:r>
    </w:p>
    <w:p w:rsidR="00B42348" w:rsidRDefault="0024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Горение и его виды. Горючие вещества.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Пожар. Виды пожаров.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Факторы, влияющие на п</w:t>
      </w:r>
      <w:r>
        <w:rPr>
          <w:rFonts w:ascii="Times New Roman" w:eastAsia="Times New Roman" w:hAnsi="Times New Roman" w:cs="Times New Roman"/>
          <w:sz w:val="24"/>
          <w:szCs w:val="24"/>
        </w:rPr>
        <w:t>роцесс горения. Причины пожаров.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Меры пожарной профилактики зданий.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средства пожаротушения.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населения при радиационной опасности.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населения при химическом заражении.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Опасные инфекции. Эпидемии. Оповещение и защита организма челов</w:t>
      </w:r>
      <w:r>
        <w:rPr>
          <w:rFonts w:ascii="Times New Roman" w:eastAsia="Times New Roman" w:hAnsi="Times New Roman" w:cs="Times New Roman"/>
          <w:sz w:val="24"/>
          <w:szCs w:val="24"/>
        </w:rPr>
        <w:t>ека.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Пожар. Защита организма человека.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Пролитая ртуть. Меры по обращению с пролитой ртутью.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человека, попавшего в заложники.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Чрезвычайная ситуация (ЧС). Нормативные документы о ЧС. Виды ЧС. Первичные факторы при возникновении ЧС.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 последо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вательность оказания первой помощи при потере человеком сознания.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чем заключаются общие принципы оказания доврачебной помощи.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образом можно выявить состояние пострадавшего (признаки жизни и смерти).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образом осуществляется искусственное дыхани</w:t>
      </w:r>
      <w:r>
        <w:rPr>
          <w:rFonts w:ascii="Times New Roman" w:eastAsia="Times New Roman" w:hAnsi="Times New Roman" w:cs="Times New Roman"/>
          <w:sz w:val="24"/>
          <w:szCs w:val="24"/>
        </w:rPr>
        <w:t>е и закрытый массаж сердца.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известные приемы оказания первой помощи на месте происшествия.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чем заключается доврачебная помощь при переломах.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чем заключается доврачебная помощь пострадавшим от химических и тепловых ожогов.</w:t>
      </w:r>
    </w:p>
    <w:p w:rsidR="00B42348" w:rsidRDefault="00240B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чем заключается </w:t>
      </w:r>
      <w:r>
        <w:rPr>
          <w:rFonts w:ascii="Times New Roman" w:eastAsia="Times New Roman" w:hAnsi="Times New Roman" w:cs="Times New Roman"/>
          <w:sz w:val="24"/>
          <w:szCs w:val="24"/>
        </w:rPr>
        <w:t>первая доврачебная помощь пострадавшему от действия электрического тока.</w:t>
      </w:r>
    </w:p>
    <w:p w:rsidR="00B42348" w:rsidRDefault="00B4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348" w:rsidRDefault="00240B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сумма баллов, набираемая студентом по дисциплине «Безопасность жизнедеятельности» в течение семестра равна 100.</w:t>
      </w:r>
    </w:p>
    <w:tbl>
      <w:tblPr>
        <w:tblStyle w:val="af0"/>
        <w:tblW w:w="1014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529"/>
        <w:gridCol w:w="2808"/>
      </w:tblGrid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Оценка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баллах</w:t>
            </w:r>
          </w:p>
        </w:tc>
        <w:tc>
          <w:tcPr>
            <w:tcW w:w="552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</w:t>
            </w:r>
          </w:p>
        </w:tc>
        <w:tc>
          <w:tcPr>
            <w:tcW w:w="2808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сформированности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требований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91 -100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5529" w:type="dxa"/>
          </w:tcPr>
          <w:p w:rsidR="00B42348" w:rsidRDefault="0024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</w:t>
            </w:r>
            <w:r>
              <w:rPr>
                <w:sz w:val="24"/>
                <w:szCs w:val="24"/>
              </w:rPr>
              <w:t>ия оценено числом баллов, близким к максимальному</w:t>
            </w:r>
          </w:p>
        </w:tc>
        <w:tc>
          <w:tcPr>
            <w:tcW w:w="2808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74-90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5529" w:type="dxa"/>
          </w:tcPr>
          <w:p w:rsidR="00B42348" w:rsidRDefault="0024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</w:t>
            </w:r>
            <w:r>
              <w:rPr>
                <w:sz w:val="24"/>
                <w:szCs w:val="24"/>
              </w:rPr>
              <w:t>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2808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Продвинутый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B42348" w:rsidRDefault="00B423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61-73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5529" w:type="dxa"/>
          </w:tcPr>
          <w:p w:rsidR="00B42348" w:rsidRDefault="0024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</w:t>
            </w:r>
            <w:r>
              <w:rPr>
                <w:sz w:val="24"/>
                <w:szCs w:val="24"/>
              </w:rPr>
              <w:t>некоторые из выполненных заданий, возможно, содержат ошибки</w:t>
            </w:r>
          </w:p>
        </w:tc>
        <w:tc>
          <w:tcPr>
            <w:tcW w:w="2808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Пороговый уровень</w:t>
            </w:r>
          </w:p>
        </w:tc>
      </w:tr>
      <w:tr w:rsidR="00B42348">
        <w:trPr>
          <w:cantSplit/>
          <w:tblHeader/>
        </w:trPr>
        <w:tc>
          <w:tcPr>
            <w:tcW w:w="1809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Менее 60</w:t>
            </w:r>
          </w:p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5529" w:type="dxa"/>
          </w:tcPr>
          <w:p w:rsidR="00B42348" w:rsidRDefault="0024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</w:t>
            </w:r>
            <w:r>
              <w:rPr>
                <w:sz w:val="24"/>
                <w:szCs w:val="24"/>
              </w:rPr>
              <w:t>бки</w:t>
            </w:r>
          </w:p>
        </w:tc>
        <w:tc>
          <w:tcPr>
            <w:tcW w:w="2808" w:type="dxa"/>
          </w:tcPr>
          <w:p w:rsidR="00B42348" w:rsidRDefault="0024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не сформированы</w:t>
            </w:r>
          </w:p>
        </w:tc>
      </w:tr>
    </w:tbl>
    <w:p w:rsidR="00B42348" w:rsidRDefault="00B42348"/>
    <w:p w:rsidR="00B42348" w:rsidRDefault="00240B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ИТОГОВЫЕ ТЕСТОВЫЕ ЗАДАНИЯ ПО УЧЕБНОЙ ДИСЦИПЛИНЕ</w:t>
      </w:r>
    </w:p>
    <w:tbl>
      <w:tblPr>
        <w:tblStyle w:val="af1"/>
        <w:tblW w:w="985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110"/>
        <w:gridCol w:w="5093"/>
        <w:gridCol w:w="2096"/>
      </w:tblGrid>
      <w:tr w:rsidR="00B42348">
        <w:trPr>
          <w:cantSplit/>
          <w:tblHeader/>
        </w:trPr>
        <w:tc>
          <w:tcPr>
            <w:tcW w:w="560" w:type="dxa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№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2110" w:type="dxa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Контролируемые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разделы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(темы)</w:t>
            </w:r>
          </w:p>
        </w:tc>
        <w:tc>
          <w:tcPr>
            <w:tcW w:w="5093" w:type="dxa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Тестовые задания</w:t>
            </w:r>
          </w:p>
        </w:tc>
        <w:tc>
          <w:tcPr>
            <w:tcW w:w="2096" w:type="dxa"/>
            <w:vAlign w:val="center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Код контролируемой компетенции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природного, техногенного и военного характера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 повлечь или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людей?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Стихийное бедствие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Чрезвычайная ситуация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Происшествие</w:t>
            </w:r>
          </w:p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Техногенная катастрофа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в мирное и военное время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РСЧС?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Единая государственная система предупреждения и ликвидации ЧС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Министерство Чрезвычайных Ситуаций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Пожарно-спасательная служба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Аварийно-спасательная служба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событий и оценка последствий при техногенных чрезвычайных ситуациях и стихийных явлениях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взрывопожароопасный объект?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Предприятие, в процессе деятельности которог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обращаются (производятся, хранятся,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транстпортируются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утилизируются)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легковостпламеняющиеся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горючие и трудно горючие жидкости, твердые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горючие вещества и материалы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пыли и волокна), вещества и материалы, способные гореть при 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модействии с водой, кислородом воздуха и друг с другом в количестве, достаточном при их воспламенении создать угрозу жизни и здоровью людей, а также угрозу экологической безопасности на территории, прилегающей к объекту.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Производственный объект, при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плуатации которого высок риск аварий или иных инцидентов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Объект, требующий применения средств и способов для предотвращения возникновения, развития и ликвидации пожара. Примеры объекта защиты: процессы, их элементы: среда, орудия и предметы труда,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сооружения, их совокупности, а также населённые пункты.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Производственный объект, при эксплуатации которого высок риск аварий или иных инцидентов</w:t>
            </w:r>
          </w:p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  <w:p w:rsidR="00B42348" w:rsidRDefault="00240B28">
            <w:pPr>
              <w:jc w:val="center"/>
            </w:pPr>
            <w:r>
              <w:t>ПК 5.3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огнетуш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ителем нельзя тушить электроустановки?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Порошковым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Пенным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Углекислотным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Можно всеми перечисленными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ПК 5.3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в быту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подручными средствами можно воспользоваться для тушения пожара?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Песок из цветочного горшка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Покрывало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Вода из аквариума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Все перечисленное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ПК 5.3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ранениях и острой сердечной недостаточности.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инфаркт?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Серьезное, угрожающее жизни заболевание, обусловленное гибелью части сердечной мышцы из-за прекращения кровотока по крупной артерии сердца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Инсульт представляет собой острое нарушение кровообращения в головном мозге, сопровождающеес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гибелью тканей и нарушением функций нервной системы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это недолговременная потеря сознания, вызванное кратковременным снижением обмена веществ в головном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мозге,на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 плохого его кровоснабжением.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Стойкое увеличение артериального давления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кровотечениях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кровотечение самое опасное?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Капилярное</w:t>
            </w:r>
            <w:proofErr w:type="spellEnd"/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Венозное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Сосудистое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Артериальное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ожогах и обморожении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всего степеней ожогов?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3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4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5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7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систему официально принятых в государстве взглядов на подготовку к вооруженной защите и вооруженную защиту Российской Федерации?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Федеральный закон РФ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Постановление правительства РФ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Военная Доктрина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Конституция 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6,7,10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B42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воинского учета и военная служба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воинская обязанность?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Комплекс мероприятий по проверке навыков граждан, находящихся в запасе или резерве, а также по их переподготовке.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Главная вооружённая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государства или группы государств, предназначенная для обеспечения военной безопасности, защиты государственных интересов при агрессии и ведении войны, недопущения или ликвидации угрозы миру между государствами и безопасности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Обязанность граждан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проходить военную подготовку в рядах Вооруженных сил РФ и защищать Отчество</w:t>
            </w:r>
          </w:p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Мероприятия государственных органов по обеспечению полного и качественного укомплектования призывными людскими ресурсами Вооруженных Сил Российской Федерации в мирное время,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мобилизации, военного положения, в военное время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6,7,10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природного, техногенного и военного характера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Обстановка, при которой в результате возникновения аварии или катастрофы на объекте, определённой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народному хозяйству и окружающей среде это 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в мирное и военное время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 или передвижное устройство для тушения очагов пожара за счёт выпуска запасённого огнетушащего вещества это 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ПК 5.3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в быту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электротравму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вызванную возбуждением живых тканей организма человека , проходящим через него электрическим током, сопровождающуюся судорожными сокращени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 мышц это…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  <w:p w:rsidR="00B42348" w:rsidRDefault="00240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>ПК 5.3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ранениях и острой сердечной недостаточности.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механические повреждения, сопровождающиеся нарушением целостности покровных тканей и характеризующиеся болью, зиянием и кровотечением1. Раной можно назвать все, начиная от кожной ссадины, заканчивая более глубокими поражениями кожных покровов,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с проникновением в полости организма это…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кровотечениях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остановить артериальное кровотечение используют…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кровотечениях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остановить венозное кровотечение используют…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ожогах и обморожении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Сжатие мышц сердца между грудиной и позвоночником в целях поддержания кровообращения человека при остановке сердца это…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</w:pPr>
            <w:r>
              <w:t>ОК 1,2,7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вооружённая организация государства или группы государств, предназначенная для обеспечения военной безопасности, защиты государственных интересов при агрессии и ведении войны, недопущения или ликвидации угрозы миру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государствами и безопасности это…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6,7,10</w:t>
            </w:r>
          </w:p>
        </w:tc>
      </w:tr>
      <w:tr w:rsidR="00B42348">
        <w:trPr>
          <w:cantSplit/>
          <w:tblHeader/>
        </w:trPr>
        <w:tc>
          <w:tcPr>
            <w:tcW w:w="56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0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воинского учета и военная служба</w:t>
            </w:r>
          </w:p>
        </w:tc>
        <w:tc>
          <w:tcPr>
            <w:tcW w:w="5093" w:type="dxa"/>
          </w:tcPr>
          <w:p w:rsidR="00B42348" w:rsidRDefault="00240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является Верховным главнокомандующим Вооруженных сил РФ?</w:t>
            </w:r>
          </w:p>
        </w:tc>
        <w:tc>
          <w:tcPr>
            <w:tcW w:w="2096" w:type="dxa"/>
          </w:tcPr>
          <w:p w:rsidR="00B42348" w:rsidRDefault="00240B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6,7,10</w:t>
            </w:r>
          </w:p>
        </w:tc>
      </w:tr>
    </w:tbl>
    <w:p w:rsidR="00B42348" w:rsidRDefault="00B42348"/>
    <w:p w:rsidR="00B42348" w:rsidRDefault="00240B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Ключи к тесту: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Техногенная ЧС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МЧС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Огнетушитель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Электрический удар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Рана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Жгут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Давящая повязка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Непрямой массаж сердца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Вооруженные Силы</w:t>
      </w:r>
    </w:p>
    <w:p w:rsidR="00B42348" w:rsidRDefault="0024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Призедент</w:t>
      </w:r>
      <w:proofErr w:type="spellEnd"/>
    </w:p>
    <w:sectPr w:rsidR="00B42348">
      <w:pgSz w:w="11909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0B28">
      <w:pPr>
        <w:spacing w:after="0" w:line="240" w:lineRule="auto"/>
      </w:pPr>
      <w:r>
        <w:separator/>
      </w:r>
    </w:p>
  </w:endnote>
  <w:endnote w:type="continuationSeparator" w:id="0">
    <w:p w:rsidR="00000000" w:rsidRDefault="0024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8" w:rsidRDefault="00240B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0B28">
      <w:pPr>
        <w:spacing w:after="0" w:line="240" w:lineRule="auto"/>
      </w:pPr>
      <w:r>
        <w:separator/>
      </w:r>
    </w:p>
  </w:footnote>
  <w:footnote w:type="continuationSeparator" w:id="0">
    <w:p w:rsidR="00000000" w:rsidRDefault="0024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14"/>
    <w:multiLevelType w:val="multilevel"/>
    <w:tmpl w:val="EEE8E46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71AF7"/>
    <w:multiLevelType w:val="multilevel"/>
    <w:tmpl w:val="776E48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676DB"/>
    <w:multiLevelType w:val="multilevel"/>
    <w:tmpl w:val="DFAA40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47379"/>
    <w:multiLevelType w:val="multilevel"/>
    <w:tmpl w:val="7A8C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25D"/>
    <w:multiLevelType w:val="multilevel"/>
    <w:tmpl w:val="ADAAD27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51A5E"/>
    <w:multiLevelType w:val="multilevel"/>
    <w:tmpl w:val="8B12A13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67C10"/>
    <w:multiLevelType w:val="multilevel"/>
    <w:tmpl w:val="A948D4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6EB5"/>
    <w:multiLevelType w:val="multilevel"/>
    <w:tmpl w:val="E1B440B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466A5"/>
    <w:multiLevelType w:val="multilevel"/>
    <w:tmpl w:val="2F041E2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40694"/>
    <w:multiLevelType w:val="multilevel"/>
    <w:tmpl w:val="2F9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D224C"/>
    <w:multiLevelType w:val="multilevel"/>
    <w:tmpl w:val="FF54D3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90F13"/>
    <w:multiLevelType w:val="multilevel"/>
    <w:tmpl w:val="1BEC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31E"/>
    <w:multiLevelType w:val="multilevel"/>
    <w:tmpl w:val="A810D68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2F3969"/>
    <w:multiLevelType w:val="multilevel"/>
    <w:tmpl w:val="60983CE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00BE6"/>
    <w:multiLevelType w:val="multilevel"/>
    <w:tmpl w:val="5C1890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5212A"/>
    <w:multiLevelType w:val="multilevel"/>
    <w:tmpl w:val="04CE96D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A4DFB"/>
    <w:multiLevelType w:val="multilevel"/>
    <w:tmpl w:val="DA78D8B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6417A"/>
    <w:multiLevelType w:val="multilevel"/>
    <w:tmpl w:val="73E46A3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72040"/>
    <w:multiLevelType w:val="multilevel"/>
    <w:tmpl w:val="CEA898A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C5A8C"/>
    <w:multiLevelType w:val="multilevel"/>
    <w:tmpl w:val="0B0623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1117E9"/>
    <w:multiLevelType w:val="multilevel"/>
    <w:tmpl w:val="D854B1E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C7772"/>
    <w:multiLevelType w:val="multilevel"/>
    <w:tmpl w:val="43E4F7E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90817"/>
    <w:multiLevelType w:val="multilevel"/>
    <w:tmpl w:val="1054A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60563"/>
    <w:multiLevelType w:val="multilevel"/>
    <w:tmpl w:val="CB7ABC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87103"/>
    <w:multiLevelType w:val="multilevel"/>
    <w:tmpl w:val="95B4956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182E6A"/>
    <w:multiLevelType w:val="multilevel"/>
    <w:tmpl w:val="B0066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87429"/>
    <w:multiLevelType w:val="multilevel"/>
    <w:tmpl w:val="547468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A5CC9"/>
    <w:multiLevelType w:val="multilevel"/>
    <w:tmpl w:val="8ED063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316D4"/>
    <w:multiLevelType w:val="multilevel"/>
    <w:tmpl w:val="D47EA72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E1C27"/>
    <w:multiLevelType w:val="multilevel"/>
    <w:tmpl w:val="624436B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13CD"/>
    <w:multiLevelType w:val="multilevel"/>
    <w:tmpl w:val="A9A6B78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9"/>
  </w:num>
  <w:num w:numId="5">
    <w:abstractNumId w:val="3"/>
  </w:num>
  <w:num w:numId="6">
    <w:abstractNumId w:val="21"/>
  </w:num>
  <w:num w:numId="7">
    <w:abstractNumId w:val="12"/>
  </w:num>
  <w:num w:numId="8">
    <w:abstractNumId w:val="5"/>
  </w:num>
  <w:num w:numId="9">
    <w:abstractNumId w:val="18"/>
  </w:num>
  <w:num w:numId="10">
    <w:abstractNumId w:val="28"/>
  </w:num>
  <w:num w:numId="11">
    <w:abstractNumId w:val="10"/>
  </w:num>
  <w:num w:numId="12">
    <w:abstractNumId w:val="30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1"/>
  </w:num>
  <w:num w:numId="18">
    <w:abstractNumId w:val="26"/>
  </w:num>
  <w:num w:numId="19">
    <w:abstractNumId w:val="25"/>
  </w:num>
  <w:num w:numId="20">
    <w:abstractNumId w:val="11"/>
  </w:num>
  <w:num w:numId="21">
    <w:abstractNumId w:val="4"/>
  </w:num>
  <w:num w:numId="22">
    <w:abstractNumId w:val="14"/>
  </w:num>
  <w:num w:numId="23">
    <w:abstractNumId w:val="20"/>
  </w:num>
  <w:num w:numId="24">
    <w:abstractNumId w:val="13"/>
  </w:num>
  <w:num w:numId="25">
    <w:abstractNumId w:val="17"/>
  </w:num>
  <w:num w:numId="26">
    <w:abstractNumId w:val="8"/>
  </w:num>
  <w:num w:numId="27">
    <w:abstractNumId w:val="23"/>
  </w:num>
  <w:num w:numId="28">
    <w:abstractNumId w:val="27"/>
  </w:num>
  <w:num w:numId="29">
    <w:abstractNumId w:val="19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48"/>
    <w:rsid w:val="00240B28"/>
    <w:rsid w:val="00B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8A8F-1A0E-4FFF-9018-DE4D1C1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2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550"/>
  </w:style>
  <w:style w:type="paragraph" w:styleId="a6">
    <w:name w:val="footer"/>
    <w:basedOn w:val="a"/>
    <w:link w:val="a7"/>
    <w:uiPriority w:val="99"/>
    <w:unhideWhenUsed/>
    <w:rsid w:val="0042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550"/>
  </w:style>
  <w:style w:type="paragraph" w:styleId="a8">
    <w:name w:val="List Paragraph"/>
    <w:basedOn w:val="a"/>
    <w:uiPriority w:val="34"/>
    <w:qFormat/>
    <w:rsid w:val="00555FF6"/>
    <w:pPr>
      <w:spacing w:after="200" w:line="276" w:lineRule="auto"/>
      <w:ind w:left="720"/>
      <w:contextualSpacing/>
    </w:pPr>
    <w:rPr>
      <w:rFonts w:cs="Times New Roman"/>
    </w:rPr>
  </w:style>
  <w:style w:type="paragraph" w:styleId="a9">
    <w:name w:val="Normal (Web)"/>
    <w:basedOn w:val="a"/>
    <w:uiPriority w:val="99"/>
    <w:rsid w:val="00555FF6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questions1">
    <w:name w:val="questions1"/>
    <w:basedOn w:val="a0"/>
    <w:rsid w:val="00555FF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answers1">
    <w:name w:val="answers1"/>
    <w:basedOn w:val="a0"/>
    <w:rsid w:val="00555FF6"/>
    <w:rPr>
      <w:rFonts w:ascii="Arial" w:hAnsi="Arial" w:cs="Arial" w:hint="default"/>
      <w:color w:val="000000"/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VdWgnwdbPh6jJzs4Yo2SjHOqUw==">AMUW2mXpMq8M44GIBkJqljkK/zsFpcueaBpR/fyIesjxRlldZ9sXAg6yZUgJ/6JApM4xCBNYsEOYVD52Rx75/yan1kpPnpmGVQhIFIP+dEkDdRghUmBiz7w=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4376</Words>
  <Characters>24948</Characters>
  <Application>Microsoft Office Word</Application>
  <DocSecurity>0</DocSecurity>
  <Lines>207</Lines>
  <Paragraphs>58</Paragraphs>
  <ScaleCrop>false</ScaleCrop>
  <Company>ВлГУ</Company>
  <LinksUpToDate>false</LinksUpToDate>
  <CharactersWithSpaces>29266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Павел С. Сабуров</cp:lastModifiedBy>
  <cp:revision>2</cp:revision>
  <dcterms:created xsi:type="dcterms:W3CDTF">2023-01-20T11:32:00Z</dcterms:created>
  <dcterms:modified xsi:type="dcterms:W3CDTF">2023-01-27T13:18:00Z</dcterms:modified>
</cp:coreProperties>
</file>